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4B2D1" w14:textId="6F0ED789" w:rsidR="00686A5F" w:rsidRPr="00686A5F" w:rsidRDefault="00686A5F" w:rsidP="00686A5F">
      <w:pPr>
        <w:pStyle w:val="Nagwek1"/>
        <w:jc w:val="both"/>
        <w:rPr>
          <w:rFonts w:ascii="Times New Roman" w:hAnsi="Times New Roman" w:cs="Times New Roman"/>
          <w:color w:val="000000" w:themeColor="text1"/>
          <w:sz w:val="24"/>
          <w:szCs w:val="24"/>
          <w:lang w:val="es-ES"/>
        </w:rPr>
      </w:pPr>
      <w:r w:rsidRPr="00686A5F">
        <w:rPr>
          <w:rFonts w:ascii="Times New Roman" w:hAnsi="Times New Roman" w:cs="Times New Roman"/>
          <w:color w:val="000000" w:themeColor="text1"/>
          <w:sz w:val="24"/>
          <w:szCs w:val="24"/>
          <w:lang w:val="es-ES"/>
        </w:rPr>
        <w:t>Anna Grazia Lopez</w:t>
      </w:r>
    </w:p>
    <w:p w14:paraId="0158D5CC" w14:textId="05319573" w:rsidR="00686A5F" w:rsidRPr="00686A5F" w:rsidRDefault="00686A5F" w:rsidP="00686A5F">
      <w:pPr>
        <w:pStyle w:val="Nagwek1"/>
        <w:jc w:val="both"/>
        <w:rPr>
          <w:rFonts w:ascii="Times New Roman" w:hAnsi="Times New Roman" w:cs="Times New Roman"/>
          <w:color w:val="000000" w:themeColor="text1"/>
          <w:sz w:val="24"/>
          <w:szCs w:val="24"/>
          <w:lang w:val="es-ES"/>
        </w:rPr>
      </w:pPr>
      <w:r w:rsidRPr="00686A5F">
        <w:rPr>
          <w:rFonts w:ascii="Times New Roman" w:hAnsi="Times New Roman" w:cs="Times New Roman"/>
          <w:color w:val="000000" w:themeColor="text1"/>
          <w:sz w:val="24"/>
          <w:szCs w:val="24"/>
          <w:lang w:val="es-ES"/>
        </w:rPr>
        <w:t>University of Foggia</w:t>
      </w:r>
    </w:p>
    <w:p w14:paraId="7D173377" w14:textId="5CA1A71C" w:rsidR="00686A5F" w:rsidRPr="00686A5F" w:rsidRDefault="00686A5F" w:rsidP="008E432B">
      <w:pPr>
        <w:pStyle w:val="Nagwek1"/>
        <w:jc w:val="both"/>
        <w:rPr>
          <w:rFonts w:ascii="Times New Roman" w:hAnsi="Times New Roman" w:cs="Times New Roman"/>
          <w:sz w:val="44"/>
          <w:szCs w:val="44"/>
          <w:lang w:val="en-GB"/>
        </w:rPr>
      </w:pPr>
      <w:r w:rsidRPr="00686A5F">
        <w:rPr>
          <w:rFonts w:ascii="Times New Roman" w:hAnsi="Times New Roman" w:cs="Times New Roman"/>
          <w:sz w:val="44"/>
          <w:szCs w:val="44"/>
          <w:lang w:val="es-ES"/>
        </w:rPr>
        <w:t>Teacher training and intercultural education: the methodology of action research</w:t>
      </w:r>
    </w:p>
    <w:p w14:paraId="6AF2C0EB" w14:textId="77777777" w:rsidR="00686A5F" w:rsidRDefault="00686A5F" w:rsidP="008E432B">
      <w:pPr>
        <w:pStyle w:val="Nagwek1"/>
        <w:jc w:val="both"/>
        <w:rPr>
          <w:rFonts w:ascii="Times New Roman" w:hAnsi="Times New Roman" w:cs="Times New Roman"/>
          <w:sz w:val="34"/>
          <w:szCs w:val="34"/>
          <w:lang w:val="en-GB"/>
        </w:rPr>
      </w:pPr>
    </w:p>
    <w:p w14:paraId="67BE512A" w14:textId="7E1E4966" w:rsidR="00AF633C" w:rsidRPr="008E432B" w:rsidRDefault="00E853ED" w:rsidP="008E432B">
      <w:pPr>
        <w:pStyle w:val="Nagwek1"/>
        <w:jc w:val="both"/>
        <w:rPr>
          <w:rFonts w:ascii="Times New Roman" w:hAnsi="Times New Roman" w:cs="Times New Roman"/>
          <w:sz w:val="34"/>
          <w:szCs w:val="34"/>
          <w:lang w:val="en-GB"/>
        </w:rPr>
      </w:pPr>
      <w:r w:rsidRPr="008E432B">
        <w:rPr>
          <w:rFonts w:ascii="Times New Roman" w:hAnsi="Times New Roman" w:cs="Times New Roman"/>
          <w:sz w:val="34"/>
          <w:szCs w:val="34"/>
          <w:lang w:val="en-GB"/>
        </w:rPr>
        <w:t>Identity and Cultures</w:t>
      </w:r>
    </w:p>
    <w:p w14:paraId="0B3CA49C"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Despite years of discussion regarding globalization and its role in promoting mobility among peoples—and consequently in the cross-breeding of cultures—Western countries still struggle to address the consequences of such migrations. These migrations involve women and men who, with their ideas and knowledge, ask to be recognized as persons in their individual and cultural rights. This request for recognition has challenged the cultural dominance of the West, </w:t>
      </w:r>
      <w:proofErr w:type="gramStart"/>
      <w:r w:rsidRPr="008E432B">
        <w:rPr>
          <w:rFonts w:ascii="Times New Roman" w:hAnsi="Times New Roman" w:cs="Times New Roman"/>
          <w:sz w:val="28"/>
          <w:szCs w:val="28"/>
          <w:lang w:val="en-GB"/>
        </w:rPr>
        <w:t>causing</w:t>
      </w:r>
      <w:proofErr w:type="gramEnd"/>
      <w:r w:rsidRPr="008E432B">
        <w:rPr>
          <w:rFonts w:ascii="Times New Roman" w:hAnsi="Times New Roman" w:cs="Times New Roman"/>
          <w:sz w:val="28"/>
          <w:szCs w:val="28"/>
          <w:lang w:val="en-GB"/>
        </w:rPr>
        <w:t xml:space="preserve"> adaptations and enrichments but also conflicts and new, extreme forms of ethnicization which are often due to representation of the foreigner as the cause of problems that instead come from economic and social crises as well as from the use of ineffective integration models.</w:t>
      </w:r>
    </w:p>
    <w:p w14:paraId="30839AD0"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According to Bauman, Europe in particular is suffering from a "global epidemic of nostalgia" (2017), which translates into a mythologization of the past in order to defend against the real or imagined dangers of the future, causing a return to nationalism. The German sociologist defined this as </w:t>
      </w:r>
      <w:proofErr w:type="spellStart"/>
      <w:r w:rsidRPr="008E432B">
        <w:rPr>
          <w:rFonts w:ascii="Times New Roman" w:hAnsi="Times New Roman" w:cs="Times New Roman"/>
          <w:b/>
          <w:bCs/>
          <w:sz w:val="28"/>
          <w:szCs w:val="28"/>
          <w:lang w:val="en-GB"/>
        </w:rPr>
        <w:t>retrotopia</w:t>
      </w:r>
      <w:proofErr w:type="spellEnd"/>
      <w:r w:rsidRPr="008E432B">
        <w:rPr>
          <w:rFonts w:ascii="Times New Roman" w:hAnsi="Times New Roman" w:cs="Times New Roman"/>
          <w:sz w:val="28"/>
          <w:szCs w:val="28"/>
          <w:lang w:val="en-GB"/>
        </w:rPr>
        <w:t>, so "visions situated in the lost/stolen/abandoned past but not yet dead [...] linked to the not yet born future" (Bauman, 2017).</w:t>
      </w:r>
    </w:p>
    <w:p w14:paraId="43D6E27F"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To free Europe from this nostalgia caused by the fear of an uncertain future—which is causing the social exclusion of masses of people living in subaltern social conditions—it is necessary to:</w:t>
      </w:r>
    </w:p>
    <w:p w14:paraId="25BC002C" w14:textId="77777777" w:rsidR="00AF633C" w:rsidRPr="008E432B" w:rsidRDefault="003553A1" w:rsidP="008E432B">
      <w:pPr>
        <w:pStyle w:val="Akapitzlist"/>
        <w:numPr>
          <w:ilvl w:val="0"/>
          <w:numId w:val="2"/>
        </w:numPr>
        <w:spacing w:after="8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Demolish the physical and mental "frontiers" that have led to the affirmation of nationalisms.</w:t>
      </w:r>
    </w:p>
    <w:p w14:paraId="385F7040" w14:textId="77777777" w:rsidR="00AF633C" w:rsidRPr="008E432B" w:rsidRDefault="003553A1" w:rsidP="008E432B">
      <w:pPr>
        <w:pStyle w:val="Akapitzlist"/>
        <w:numPr>
          <w:ilvl w:val="0"/>
          <w:numId w:val="2"/>
        </w:numPr>
        <w:spacing w:after="8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Develop a new model of integration capable of interpreting cultural identity as a continuous process of negotiation between the self and the other, abandoning all forms of closure.</w:t>
      </w:r>
    </w:p>
    <w:p w14:paraId="4062200A" w14:textId="77777777" w:rsidR="00AF633C" w:rsidRPr="008E432B" w:rsidRDefault="003553A1" w:rsidP="008E432B">
      <w:pPr>
        <w:pStyle w:val="Akapitzlist"/>
        <w:numPr>
          <w:ilvl w:val="0"/>
          <w:numId w:val="2"/>
        </w:numPr>
        <w:spacing w:after="20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Redefine the category of belonging, rethinking it in light of the modern individual's ability to belong to multiple communities simultaneously, establishing a "multi-multivocal" relationship with them (Rigotti, 2005).</w:t>
      </w:r>
    </w:p>
    <w:p w14:paraId="0F7402D7"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lastRenderedPageBreak/>
        <w:t xml:space="preserve">Furthermore, as Cambi writes, belonging is </w:t>
      </w:r>
      <w:r w:rsidRPr="008E432B">
        <w:rPr>
          <w:rFonts w:ascii="Times New Roman" w:hAnsi="Times New Roman" w:cs="Times New Roman"/>
          <w:i/>
          <w:iCs/>
          <w:sz w:val="28"/>
          <w:szCs w:val="28"/>
          <w:lang w:val="en-GB"/>
        </w:rPr>
        <w:t xml:space="preserve">a </w:t>
      </w:r>
      <w:proofErr w:type="spellStart"/>
      <w:r w:rsidRPr="008E432B">
        <w:rPr>
          <w:rFonts w:ascii="Times New Roman" w:hAnsi="Times New Roman" w:cs="Times New Roman"/>
          <w:i/>
          <w:iCs/>
          <w:sz w:val="28"/>
          <w:szCs w:val="28"/>
          <w:lang w:val="en-GB"/>
        </w:rPr>
        <w:t>conditio</w:t>
      </w:r>
      <w:proofErr w:type="spellEnd"/>
      <w:r w:rsidRPr="008E432B">
        <w:rPr>
          <w:rFonts w:ascii="Times New Roman" w:hAnsi="Times New Roman" w:cs="Times New Roman"/>
          <w:i/>
          <w:iCs/>
          <w:sz w:val="28"/>
          <w:szCs w:val="28"/>
          <w:lang w:val="en-GB"/>
        </w:rPr>
        <w:t xml:space="preserve"> and not a goal</w:t>
      </w:r>
      <w:r w:rsidRPr="008E432B">
        <w:rPr>
          <w:rFonts w:ascii="Times New Roman" w:hAnsi="Times New Roman" w:cs="Times New Roman"/>
          <w:sz w:val="28"/>
          <w:szCs w:val="28"/>
          <w:lang w:val="en-GB"/>
        </w:rPr>
        <w:t xml:space="preserve"> (1999): one can be born and live in the same place, having roots there, but it is the place itself that changes and transforms because it is a space where lives and cultures transit. For this reason, we can state that every individual's cultural identity is the result of a complex process in which subjective experiences intertwine with cultural ones, transforming it into a "crossroads of belongings" (Rigotti, 2005). Human subjects, in relation to their various spheres of interest, are involved in different cultural and community belongings.</w:t>
      </w:r>
    </w:p>
    <w:p w14:paraId="709DB876" w14:textId="3ABEE7F0" w:rsidR="00AF633C" w:rsidRPr="008E432B" w:rsidRDefault="00E853ED" w:rsidP="008E432B">
      <w:pPr>
        <w:pStyle w:val="Nagwek1"/>
        <w:jc w:val="both"/>
        <w:rPr>
          <w:rFonts w:ascii="Times New Roman" w:hAnsi="Times New Roman" w:cs="Times New Roman"/>
          <w:sz w:val="34"/>
          <w:szCs w:val="34"/>
          <w:lang w:val="en-GB"/>
        </w:rPr>
      </w:pPr>
      <w:r w:rsidRPr="008E432B">
        <w:rPr>
          <w:rFonts w:ascii="Times New Roman" w:hAnsi="Times New Roman" w:cs="Times New Roman"/>
          <w:sz w:val="34"/>
          <w:szCs w:val="34"/>
          <w:lang w:val="en-GB"/>
        </w:rPr>
        <w:t>Redefining Identity</w:t>
      </w:r>
    </w:p>
    <w:p w14:paraId="6DBA7635"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If identity is the object of a "process of constant differentiation," culture is never taken for granted as well and it cannot be handed down from generation to generation without having a transformation. Cultures are neither homogeneous nor static; they are subject to the interventions of the men and women who live them, whose identities are, in turn, shaped by belonging to an ethnic group, a gender, or a social class.</w:t>
      </w:r>
    </w:p>
    <w:p w14:paraId="2555CC76" w14:textId="77777777" w:rsidR="00AF633C" w:rsidRPr="008E432B" w:rsidRDefault="003553A1" w:rsidP="008E432B">
      <w:pPr>
        <w:spacing w:after="80"/>
        <w:jc w:val="both"/>
        <w:rPr>
          <w:rFonts w:ascii="Times New Roman" w:hAnsi="Times New Roman" w:cs="Times New Roman"/>
          <w:sz w:val="28"/>
          <w:szCs w:val="28"/>
        </w:rPr>
      </w:pPr>
      <w:r w:rsidRPr="008E432B">
        <w:rPr>
          <w:rFonts w:ascii="Times New Roman" w:hAnsi="Times New Roman" w:cs="Times New Roman"/>
          <w:sz w:val="28"/>
          <w:szCs w:val="28"/>
          <w:lang w:val="en-GB"/>
        </w:rPr>
        <w:t xml:space="preserve">Nowadays, the word "culture" is often erroneously used as a category expressing the character of a collective. </w:t>
      </w:r>
      <w:r w:rsidRPr="008E432B">
        <w:rPr>
          <w:rFonts w:ascii="Times New Roman" w:hAnsi="Times New Roman" w:cs="Times New Roman"/>
          <w:sz w:val="28"/>
          <w:szCs w:val="28"/>
        </w:rPr>
        <w:t>Actually it is:</w:t>
      </w:r>
    </w:p>
    <w:p w14:paraId="6791926C" w14:textId="77777777" w:rsidR="00AF633C" w:rsidRPr="008E432B" w:rsidRDefault="003553A1" w:rsidP="008E432B">
      <w:pPr>
        <w:pStyle w:val="Akapitzlist"/>
        <w:numPr>
          <w:ilvl w:val="0"/>
          <w:numId w:val="2"/>
        </w:numPr>
        <w:spacing w:after="80"/>
        <w:jc w:val="both"/>
        <w:rPr>
          <w:rFonts w:ascii="Times New Roman" w:hAnsi="Times New Roman" w:cs="Times New Roman"/>
          <w:sz w:val="28"/>
          <w:szCs w:val="28"/>
          <w:lang w:val="en-GB"/>
        </w:rPr>
      </w:pPr>
      <w:r w:rsidRPr="008E432B">
        <w:rPr>
          <w:rFonts w:ascii="Times New Roman" w:hAnsi="Times New Roman" w:cs="Times New Roman"/>
          <w:b/>
          <w:bCs/>
          <w:sz w:val="28"/>
          <w:szCs w:val="28"/>
          <w:lang w:val="en-GB"/>
        </w:rPr>
        <w:t>Plural and fragmented</w:t>
      </w:r>
      <w:r w:rsidRPr="008E432B">
        <w:rPr>
          <w:rFonts w:ascii="Times New Roman" w:hAnsi="Times New Roman" w:cs="Times New Roman"/>
          <w:sz w:val="28"/>
          <w:szCs w:val="28"/>
          <w:lang w:val="en-GB"/>
        </w:rPr>
        <w:t>: described as "cannibalistic" (Fiorani-</w:t>
      </w:r>
      <w:proofErr w:type="spellStart"/>
      <w:r w:rsidRPr="008E432B">
        <w:rPr>
          <w:rFonts w:ascii="Times New Roman" w:hAnsi="Times New Roman" w:cs="Times New Roman"/>
          <w:sz w:val="28"/>
          <w:szCs w:val="28"/>
          <w:lang w:val="en-GB"/>
        </w:rPr>
        <w:t>Ceresoli</w:t>
      </w:r>
      <w:proofErr w:type="spellEnd"/>
      <w:r w:rsidRPr="008E432B">
        <w:rPr>
          <w:rFonts w:ascii="Times New Roman" w:hAnsi="Times New Roman" w:cs="Times New Roman"/>
          <w:sz w:val="28"/>
          <w:szCs w:val="28"/>
          <w:lang w:val="en-GB"/>
        </w:rPr>
        <w:t xml:space="preserve">, 2000) because it is the result of exchanges and borrowings that produce hybridity. It needs to be interpreted as </w:t>
      </w:r>
      <w:r w:rsidRPr="008E432B">
        <w:rPr>
          <w:rFonts w:ascii="Times New Roman" w:hAnsi="Times New Roman" w:cs="Times New Roman"/>
          <w:b/>
          <w:bCs/>
          <w:sz w:val="28"/>
          <w:szCs w:val="28"/>
          <w:lang w:val="en-GB"/>
        </w:rPr>
        <w:t>dynamic</w:t>
      </w:r>
      <w:r w:rsidRPr="008E432B">
        <w:rPr>
          <w:rFonts w:ascii="Times New Roman" w:hAnsi="Times New Roman" w:cs="Times New Roman"/>
          <w:sz w:val="28"/>
          <w:szCs w:val="28"/>
          <w:lang w:val="en-GB"/>
        </w:rPr>
        <w:t>, so the object of constant rewriting by both the individual and the collective.</w:t>
      </w:r>
    </w:p>
    <w:p w14:paraId="56AB24FB"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While for anthropologist Lévi-Strauss (1984) culture is man's attempt to differentiate himself from nature, for scholars of biology, ethology, and genetics, culture is instead a "defensive work" put in place to assert human specificity compared to other life forms.</w:t>
      </w:r>
    </w:p>
    <w:p w14:paraId="7EB692A9"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Just as humanity is divided into populations that are somatically similar but still show differences within the same group, so it is for culture.</w:t>
      </w:r>
    </w:p>
    <w:p w14:paraId="3D2569A9"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Culture is an "uncontrollable" term, as defined by Maria Tomarchio (2017): it changes over time and despite being handed down from generation to generation, it undergoes changes due to continuous contact with other cultures. Focusing on its </w:t>
      </w:r>
      <w:r w:rsidRPr="008E432B">
        <w:rPr>
          <w:rFonts w:ascii="Times New Roman" w:hAnsi="Times New Roman" w:cs="Times New Roman"/>
          <w:i/>
          <w:iCs/>
          <w:sz w:val="28"/>
          <w:szCs w:val="28"/>
          <w:lang w:val="en-GB"/>
        </w:rPr>
        <w:t>processual dimension</w:t>
      </w:r>
      <w:r w:rsidRPr="008E432B">
        <w:rPr>
          <w:rFonts w:ascii="Times New Roman" w:hAnsi="Times New Roman" w:cs="Times New Roman"/>
          <w:sz w:val="28"/>
          <w:szCs w:val="28"/>
          <w:lang w:val="en-GB"/>
        </w:rPr>
        <w:t xml:space="preserve">, it should be considered as a "living" category. Consequently, belonging can also be interpreted as a dynamic category that can be continuously questioned, reflected upon, and transformed through intercultural exchanges. Individuals can use their knowledge to understand, evaluate, choose, and act in order to transform culture and adapt it to themselves. The relationship between individual and culture is therefore </w:t>
      </w:r>
      <w:r w:rsidRPr="008E432B">
        <w:rPr>
          <w:rFonts w:ascii="Times New Roman" w:hAnsi="Times New Roman" w:cs="Times New Roman"/>
          <w:b/>
          <w:bCs/>
          <w:sz w:val="28"/>
          <w:szCs w:val="28"/>
          <w:lang w:val="en-GB"/>
        </w:rPr>
        <w:t>transactional</w:t>
      </w:r>
      <w:r w:rsidRPr="008E432B">
        <w:rPr>
          <w:rFonts w:ascii="Times New Roman" w:hAnsi="Times New Roman" w:cs="Times New Roman"/>
          <w:sz w:val="28"/>
          <w:szCs w:val="28"/>
          <w:lang w:val="en-GB"/>
        </w:rPr>
        <w:t>, where both undergo and react to each other's transformative actions.</w:t>
      </w:r>
    </w:p>
    <w:p w14:paraId="5F53536E" w14:textId="160D135E"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lastRenderedPageBreak/>
        <w:t>The manifestation of difference is nothing more than a cultural experience (Tomarchio, 2017), an expression of the human capacity to respond to natural, social, and economic contexts.</w:t>
      </w:r>
    </w:p>
    <w:p w14:paraId="1AB49767" w14:textId="0EACC3E2"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The encounter between distant peoples can produce </w:t>
      </w:r>
      <w:r w:rsidRPr="008E432B">
        <w:rPr>
          <w:rFonts w:ascii="Times New Roman" w:hAnsi="Times New Roman" w:cs="Times New Roman"/>
          <w:i/>
          <w:iCs/>
          <w:sz w:val="28"/>
          <w:szCs w:val="28"/>
          <w:lang w:val="en-GB"/>
        </w:rPr>
        <w:t>rejection or assimilation</w:t>
      </w:r>
      <w:r w:rsidRPr="008E432B">
        <w:rPr>
          <w:rFonts w:ascii="Times New Roman" w:hAnsi="Times New Roman" w:cs="Times New Roman"/>
          <w:sz w:val="28"/>
          <w:szCs w:val="28"/>
          <w:lang w:val="en-GB"/>
        </w:rPr>
        <w:t xml:space="preserve">, but also </w:t>
      </w:r>
      <w:r w:rsidRPr="008E432B">
        <w:rPr>
          <w:rFonts w:ascii="Times New Roman" w:hAnsi="Times New Roman" w:cs="Times New Roman"/>
          <w:i/>
          <w:iCs/>
          <w:sz w:val="28"/>
          <w:szCs w:val="28"/>
          <w:lang w:val="en-GB"/>
        </w:rPr>
        <w:t>cultural hybridization</w:t>
      </w:r>
      <w:r w:rsidRPr="008E432B">
        <w:rPr>
          <w:rFonts w:ascii="Times New Roman" w:hAnsi="Times New Roman" w:cs="Times New Roman"/>
          <w:sz w:val="28"/>
          <w:szCs w:val="28"/>
          <w:lang w:val="en-GB"/>
        </w:rPr>
        <w:t>, where both locals and immigrants enrich each other through cultural exchange giving birth to crossbreeding forms suggesting that, today, cultural belonging is constantly being redefined for each individual. It is useless to seek "purity" in cultures, which are instead the "sum and subtraction of all the elements that have passed through them over time" (Aime, 2004). Letting oneself be crossed by other cultures means allowing other values and lifestyles to act like a "mole," challenging our certainties and provoking new ideas.</w:t>
      </w:r>
    </w:p>
    <w:p w14:paraId="1D21083C"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The truth is that cultural diversity can represent a global "reserve of ideas and alternatives to all that exists and therefore a reserve of solutions to problems" (</w:t>
      </w:r>
      <w:proofErr w:type="spellStart"/>
      <w:r w:rsidRPr="008E432B">
        <w:rPr>
          <w:rFonts w:ascii="Times New Roman" w:hAnsi="Times New Roman" w:cs="Times New Roman"/>
          <w:sz w:val="28"/>
          <w:szCs w:val="28"/>
          <w:lang w:val="en-GB"/>
        </w:rPr>
        <w:t>Hannertz</w:t>
      </w:r>
      <w:proofErr w:type="spellEnd"/>
      <w:r w:rsidRPr="008E432B">
        <w:rPr>
          <w:rFonts w:ascii="Times New Roman" w:hAnsi="Times New Roman" w:cs="Times New Roman"/>
          <w:sz w:val="28"/>
          <w:szCs w:val="28"/>
          <w:lang w:val="en-GB"/>
        </w:rPr>
        <w:t>, 2001). While biological variety may decline due to the disappearance of some species giving space to others that need longer time, cultural variety manages instead to regenerate more quickly.</w:t>
      </w:r>
    </w:p>
    <w:p w14:paraId="1745BA05" w14:textId="704D43D6" w:rsidR="00AF633C" w:rsidRPr="008E432B" w:rsidRDefault="00E853ED" w:rsidP="008E432B">
      <w:pPr>
        <w:pStyle w:val="Nagwek1"/>
        <w:jc w:val="both"/>
        <w:rPr>
          <w:rFonts w:ascii="Times New Roman" w:hAnsi="Times New Roman" w:cs="Times New Roman"/>
          <w:sz w:val="34"/>
          <w:szCs w:val="34"/>
          <w:lang w:val="en-GB"/>
        </w:rPr>
      </w:pPr>
      <w:r w:rsidRPr="008E432B">
        <w:rPr>
          <w:rFonts w:ascii="Times New Roman" w:hAnsi="Times New Roman" w:cs="Times New Roman"/>
          <w:sz w:val="34"/>
          <w:szCs w:val="34"/>
          <w:lang w:val="en-GB"/>
        </w:rPr>
        <w:t>Interculture</w:t>
      </w:r>
    </w:p>
    <w:p w14:paraId="68FE0B95" w14:textId="14E37A90"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A dynamic interpretation of culture also challenges the objective taxonomy of "ethnicity". This justifies the role of </w:t>
      </w:r>
      <w:r w:rsidRPr="008E432B">
        <w:rPr>
          <w:rFonts w:ascii="Times New Roman" w:hAnsi="Times New Roman" w:cs="Times New Roman"/>
          <w:b/>
          <w:bCs/>
          <w:sz w:val="28"/>
          <w:szCs w:val="28"/>
          <w:lang w:val="en-GB"/>
        </w:rPr>
        <w:t>interculture</w:t>
      </w:r>
      <w:r w:rsidRPr="008E432B">
        <w:rPr>
          <w:rFonts w:ascii="Times New Roman" w:hAnsi="Times New Roman" w:cs="Times New Roman"/>
          <w:sz w:val="28"/>
          <w:szCs w:val="28"/>
          <w:lang w:val="en-GB"/>
        </w:rPr>
        <w:t xml:space="preserve"> as both a political and educational category. It shifts focus toward new forms of relationships, aware that the ethnic boundary defines the groups, not the culture enclosed within.</w:t>
      </w:r>
    </w:p>
    <w:p w14:paraId="750F550D" w14:textId="75E1A865"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Recognizing the value of cultural plurality on the same territory represents a challenge for education in the process of creating a richer identity. Education must work on a new model of integration that does not respond to a "logic of emergency" but aims to form minds that live their cultural belonging as "in progress" (</w:t>
      </w:r>
      <w:r w:rsidRPr="008E432B">
        <w:rPr>
          <w:rFonts w:ascii="Times New Roman" w:hAnsi="Times New Roman" w:cs="Times New Roman"/>
          <w:i/>
          <w:iCs/>
          <w:sz w:val="28"/>
          <w:szCs w:val="28"/>
          <w:lang w:val="en-GB"/>
        </w:rPr>
        <w:t xml:space="preserve">in </w:t>
      </w:r>
      <w:proofErr w:type="spellStart"/>
      <w:r w:rsidRPr="008E432B">
        <w:rPr>
          <w:rFonts w:ascii="Times New Roman" w:hAnsi="Times New Roman" w:cs="Times New Roman"/>
          <w:i/>
          <w:iCs/>
          <w:sz w:val="28"/>
          <w:szCs w:val="28"/>
          <w:lang w:val="en-GB"/>
        </w:rPr>
        <w:t>itinere</w:t>
      </w:r>
      <w:proofErr w:type="spellEnd"/>
      <w:r w:rsidRPr="008E432B">
        <w:rPr>
          <w:rFonts w:ascii="Times New Roman" w:hAnsi="Times New Roman" w:cs="Times New Roman"/>
          <w:sz w:val="28"/>
          <w:szCs w:val="28"/>
          <w:lang w:val="en-GB"/>
        </w:rPr>
        <w:t>). In order to consider the culture as a dynamic category and, consequently, to have a change of perspective, it is important for educational processes to focus on the meaning of belonging. This involves building integration models based on a problematic and dialectical relationship between the individual and their culture of origin. This can transform migratory flows into opportunities for coexistence based on solidarity and dialogue. On the other hand, this can lead to the chance for younger generations to promote an open-minded idea of belonging, in future.</w:t>
      </w:r>
    </w:p>
    <w:p w14:paraId="683ED293" w14:textId="28D35A56" w:rsidR="00AF633C" w:rsidRPr="008E432B" w:rsidRDefault="00E853ED" w:rsidP="008E432B">
      <w:pPr>
        <w:pStyle w:val="Nagwek2"/>
        <w:jc w:val="both"/>
        <w:rPr>
          <w:rFonts w:ascii="Times New Roman" w:hAnsi="Times New Roman" w:cs="Times New Roman"/>
          <w:sz w:val="34"/>
          <w:szCs w:val="34"/>
          <w:lang w:val="en-GB"/>
        </w:rPr>
      </w:pPr>
      <w:r w:rsidRPr="008E432B">
        <w:rPr>
          <w:rFonts w:ascii="Times New Roman" w:hAnsi="Times New Roman" w:cs="Times New Roman"/>
          <w:sz w:val="34"/>
          <w:szCs w:val="34"/>
          <w:lang w:val="en-GB"/>
        </w:rPr>
        <w:t>Integration vs. Assimilation</w:t>
      </w:r>
    </w:p>
    <w:p w14:paraId="4D213F2C" w14:textId="77777777" w:rsidR="00AF633C" w:rsidRPr="008E432B" w:rsidRDefault="003553A1" w:rsidP="008E432B">
      <w:pPr>
        <w:spacing w:after="8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Integration is a complex process often confused with assimilation. For this reason, a clarification on these two terms is needed:</w:t>
      </w:r>
    </w:p>
    <w:p w14:paraId="0F8158CC" w14:textId="77777777" w:rsidR="00AF633C" w:rsidRPr="008E432B" w:rsidRDefault="003553A1" w:rsidP="008E432B">
      <w:pPr>
        <w:pStyle w:val="Akapitzlist"/>
        <w:numPr>
          <w:ilvl w:val="0"/>
          <w:numId w:val="2"/>
        </w:numPr>
        <w:spacing w:after="80"/>
        <w:jc w:val="both"/>
        <w:rPr>
          <w:rFonts w:ascii="Times New Roman" w:hAnsi="Times New Roman" w:cs="Times New Roman"/>
          <w:sz w:val="28"/>
          <w:szCs w:val="28"/>
          <w:lang w:val="en-GB"/>
        </w:rPr>
      </w:pPr>
      <w:r w:rsidRPr="008E432B">
        <w:rPr>
          <w:rFonts w:ascii="Times New Roman" w:hAnsi="Times New Roman" w:cs="Times New Roman"/>
          <w:b/>
          <w:bCs/>
          <w:sz w:val="28"/>
          <w:szCs w:val="28"/>
          <w:lang w:val="en-GB"/>
        </w:rPr>
        <w:t>Assimilation</w:t>
      </w:r>
      <w:r w:rsidRPr="008E432B">
        <w:rPr>
          <w:rFonts w:ascii="Times New Roman" w:hAnsi="Times New Roman" w:cs="Times New Roman"/>
          <w:sz w:val="28"/>
          <w:szCs w:val="28"/>
          <w:lang w:val="en-GB"/>
        </w:rPr>
        <w:t xml:space="preserve"> refers to a process of absorption implying that an </w:t>
      </w:r>
      <w:proofErr w:type="gramStart"/>
      <w:r w:rsidRPr="008E432B">
        <w:rPr>
          <w:rFonts w:ascii="Times New Roman" w:hAnsi="Times New Roman" w:cs="Times New Roman"/>
          <w:sz w:val="28"/>
          <w:szCs w:val="28"/>
          <w:lang w:val="en-GB"/>
        </w:rPr>
        <w:t>individual abandons certain identity traits</w:t>
      </w:r>
      <w:proofErr w:type="gramEnd"/>
      <w:r w:rsidRPr="008E432B">
        <w:rPr>
          <w:rFonts w:ascii="Times New Roman" w:hAnsi="Times New Roman" w:cs="Times New Roman"/>
          <w:sz w:val="28"/>
          <w:szCs w:val="28"/>
          <w:lang w:val="en-GB"/>
        </w:rPr>
        <w:t xml:space="preserve"> to assume others that do not belong to them </w:t>
      </w:r>
      <w:r w:rsidRPr="008E432B">
        <w:rPr>
          <w:rFonts w:ascii="Times New Roman" w:hAnsi="Times New Roman" w:cs="Times New Roman"/>
          <w:sz w:val="28"/>
          <w:szCs w:val="28"/>
          <w:lang w:val="en-GB"/>
        </w:rPr>
        <w:lastRenderedPageBreak/>
        <w:t>(Bolognesi, 2017). It takes place when, for instance, immigrants enter the work field and need to learn the host country language. Indeed, it is a consequence of individual choices, it is different for everyone depending on the living condition and on the immigration experience as well.</w:t>
      </w:r>
    </w:p>
    <w:p w14:paraId="70384D78" w14:textId="77777777" w:rsidR="00AF633C" w:rsidRPr="008E432B" w:rsidRDefault="003553A1" w:rsidP="008E432B">
      <w:pPr>
        <w:pStyle w:val="Akapitzlist"/>
        <w:numPr>
          <w:ilvl w:val="0"/>
          <w:numId w:val="2"/>
        </w:numPr>
        <w:spacing w:after="200"/>
        <w:jc w:val="both"/>
        <w:rPr>
          <w:rFonts w:ascii="Times New Roman" w:hAnsi="Times New Roman" w:cs="Times New Roman"/>
          <w:sz w:val="28"/>
          <w:szCs w:val="28"/>
          <w:lang w:val="en-GB"/>
        </w:rPr>
      </w:pPr>
      <w:r w:rsidRPr="008E432B">
        <w:rPr>
          <w:rFonts w:ascii="Times New Roman" w:hAnsi="Times New Roman" w:cs="Times New Roman"/>
          <w:b/>
          <w:bCs/>
          <w:sz w:val="28"/>
          <w:szCs w:val="28"/>
          <w:lang w:val="en-GB"/>
        </w:rPr>
        <w:t>Integration</w:t>
      </w:r>
      <w:r w:rsidRPr="008E432B">
        <w:rPr>
          <w:rFonts w:ascii="Times New Roman" w:hAnsi="Times New Roman" w:cs="Times New Roman"/>
          <w:sz w:val="28"/>
          <w:szCs w:val="28"/>
          <w:lang w:val="en-GB"/>
        </w:rPr>
        <w:t xml:space="preserve"> is instead a "co-evolutionary" process marked by reciprocity between those who welcome and those who are welcomed. It aims for democratic coexistence based on the recognition of civil rights for all.</w:t>
      </w:r>
    </w:p>
    <w:p w14:paraId="3B00D9BF"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Integration is strictly linked to "selective acculturation," where the subject knows their own tradition and culture and re-elaborates it originally. It is based on one hand on a </w:t>
      </w:r>
      <w:r w:rsidRPr="008E432B">
        <w:rPr>
          <w:rFonts w:ascii="Times New Roman" w:hAnsi="Times New Roman" w:cs="Times New Roman"/>
          <w:b/>
          <w:bCs/>
          <w:sz w:val="28"/>
          <w:szCs w:val="28"/>
          <w:lang w:val="en-GB"/>
        </w:rPr>
        <w:t>cultural pluralism</w:t>
      </w:r>
      <w:r w:rsidRPr="008E432B">
        <w:rPr>
          <w:rFonts w:ascii="Times New Roman" w:hAnsi="Times New Roman" w:cs="Times New Roman"/>
          <w:sz w:val="28"/>
          <w:szCs w:val="28"/>
          <w:lang w:val="en-GB"/>
        </w:rPr>
        <w:t xml:space="preserve">, which helps the understanding of multiple chances of cultural enrichment. On the other hand, it is based on the </w:t>
      </w:r>
      <w:r w:rsidRPr="008E432B">
        <w:rPr>
          <w:rFonts w:ascii="Times New Roman" w:hAnsi="Times New Roman" w:cs="Times New Roman"/>
          <w:b/>
          <w:bCs/>
          <w:sz w:val="28"/>
          <w:szCs w:val="28"/>
          <w:lang w:val="en-GB"/>
        </w:rPr>
        <w:t>sharing of anthropological values</w:t>
      </w:r>
      <w:r w:rsidRPr="008E432B">
        <w:rPr>
          <w:rFonts w:ascii="Times New Roman" w:hAnsi="Times New Roman" w:cs="Times New Roman"/>
          <w:sz w:val="28"/>
          <w:szCs w:val="28"/>
          <w:lang w:val="en-GB"/>
        </w:rPr>
        <w:t xml:space="preserve"> which prevents the extremes of exaggerated ethno-linguistic and religious identification or also conforming </w:t>
      </w:r>
      <w:proofErr w:type="spellStart"/>
      <w:r w:rsidRPr="008E432B">
        <w:rPr>
          <w:rFonts w:ascii="Times New Roman" w:hAnsi="Times New Roman" w:cs="Times New Roman"/>
          <w:sz w:val="28"/>
          <w:szCs w:val="28"/>
          <w:lang w:val="en-GB"/>
        </w:rPr>
        <w:t>behavior</w:t>
      </w:r>
      <w:proofErr w:type="spellEnd"/>
      <w:r w:rsidRPr="008E432B">
        <w:rPr>
          <w:rFonts w:ascii="Times New Roman" w:hAnsi="Times New Roman" w:cs="Times New Roman"/>
          <w:sz w:val="28"/>
          <w:szCs w:val="28"/>
          <w:lang w:val="en-GB"/>
        </w:rPr>
        <w:t xml:space="preserve"> used just to gain recognition.</w:t>
      </w:r>
    </w:p>
    <w:p w14:paraId="2AAE569F"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Educational institutions must be created as places of identity encounter where ethnocentrism and monoculturalism are overcome and where embracing the influence of other cultural models, which do not replace the original one, is a way to actually enrich and strengthen them; </w:t>
      </w:r>
      <w:proofErr w:type="gramStart"/>
      <w:r w:rsidRPr="008E432B">
        <w:rPr>
          <w:rFonts w:ascii="Times New Roman" w:hAnsi="Times New Roman" w:cs="Times New Roman"/>
          <w:sz w:val="28"/>
          <w:szCs w:val="28"/>
          <w:lang w:val="en-GB"/>
        </w:rPr>
        <w:t>finally</w:t>
      </w:r>
      <w:proofErr w:type="gramEnd"/>
      <w:r w:rsidRPr="008E432B">
        <w:rPr>
          <w:rFonts w:ascii="Times New Roman" w:hAnsi="Times New Roman" w:cs="Times New Roman"/>
          <w:sz w:val="28"/>
          <w:szCs w:val="28"/>
          <w:lang w:val="en-GB"/>
        </w:rPr>
        <w:t xml:space="preserve"> where prejudices are challenged to create a logic built on dialogue and </w:t>
      </w:r>
      <w:proofErr w:type="spellStart"/>
      <w:r w:rsidRPr="008E432B">
        <w:rPr>
          <w:rFonts w:ascii="Times New Roman" w:hAnsi="Times New Roman" w:cs="Times New Roman"/>
          <w:i/>
          <w:iCs/>
          <w:sz w:val="28"/>
          <w:szCs w:val="28"/>
          <w:lang w:val="en-GB"/>
        </w:rPr>
        <w:t>métissage</w:t>
      </w:r>
      <w:proofErr w:type="spellEnd"/>
      <w:r w:rsidRPr="008E432B">
        <w:rPr>
          <w:rFonts w:ascii="Times New Roman" w:hAnsi="Times New Roman" w:cs="Times New Roman"/>
          <w:sz w:val="28"/>
          <w:szCs w:val="28"/>
          <w:lang w:val="en-GB"/>
        </w:rPr>
        <w:t>. This is difficult because it requires "de-colonizing the imaginary" regarding alterity and initiating a process of self-criticism. Cultural diversity "disturbs" because it breaks the balance of shared culture and forces a painful process of deconstruction as it removes certainties.</w:t>
      </w:r>
    </w:p>
    <w:p w14:paraId="7D3DCA41" w14:textId="728A132D" w:rsidR="00AF633C" w:rsidRPr="008E432B" w:rsidRDefault="00686A5F" w:rsidP="008E432B">
      <w:pPr>
        <w:pStyle w:val="Nagwek1"/>
        <w:jc w:val="both"/>
        <w:rPr>
          <w:rFonts w:ascii="Times New Roman" w:hAnsi="Times New Roman" w:cs="Times New Roman"/>
          <w:sz w:val="34"/>
          <w:szCs w:val="34"/>
          <w:lang w:val="en-GB"/>
        </w:rPr>
      </w:pPr>
      <w:r>
        <w:rPr>
          <w:rFonts w:ascii="Times New Roman" w:hAnsi="Times New Roman" w:cs="Times New Roman"/>
          <w:i/>
          <w:iCs/>
          <w:sz w:val="34"/>
          <w:szCs w:val="34"/>
          <w:lang w:val="en-GB"/>
        </w:rPr>
        <w:t xml:space="preserve">The area of “self”, “knowledge”, “know-how” </w:t>
      </w:r>
    </w:p>
    <w:p w14:paraId="46851E2B"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In response to feelings of displacement, education aims to form plural, flexible identities that make everyone feel part of the local communities, yet remains open to change and self-redefinition. Educational institutions are instead tasked with spreading a culture based on equal opportunities while respecting differences. Integration needs a community where identities do not exclude one another, but rather open up to each other.</w:t>
      </w:r>
    </w:p>
    <w:p w14:paraId="7BE32984" w14:textId="77777777" w:rsidR="00AF633C" w:rsidRPr="008E432B" w:rsidRDefault="003553A1" w:rsidP="008E432B">
      <w:pPr>
        <w:spacing w:after="8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Neo-liberalism has transformed schools into institutions focused on performance and efficiency, valuing:</w:t>
      </w:r>
    </w:p>
    <w:p w14:paraId="54BC9B3F" w14:textId="77777777" w:rsidR="00AF633C" w:rsidRPr="008E432B" w:rsidRDefault="003553A1" w:rsidP="008E432B">
      <w:pPr>
        <w:pStyle w:val="Akapitzlist"/>
        <w:numPr>
          <w:ilvl w:val="0"/>
          <w:numId w:val="2"/>
        </w:numPr>
        <w:spacing w:after="80"/>
        <w:jc w:val="both"/>
        <w:rPr>
          <w:rFonts w:ascii="Times New Roman" w:hAnsi="Times New Roman" w:cs="Times New Roman"/>
          <w:sz w:val="28"/>
          <w:szCs w:val="28"/>
        </w:rPr>
      </w:pPr>
      <w:r w:rsidRPr="008E432B">
        <w:rPr>
          <w:rFonts w:ascii="Times New Roman" w:hAnsi="Times New Roman" w:cs="Times New Roman"/>
          <w:b/>
          <w:bCs/>
          <w:sz w:val="28"/>
          <w:szCs w:val="28"/>
        </w:rPr>
        <w:t>Individualism</w:t>
      </w:r>
      <w:r w:rsidRPr="008E432B">
        <w:rPr>
          <w:rFonts w:ascii="Times New Roman" w:hAnsi="Times New Roman" w:cs="Times New Roman"/>
          <w:sz w:val="28"/>
          <w:szCs w:val="28"/>
        </w:rPr>
        <w:t xml:space="preserve"> over community.</w:t>
      </w:r>
    </w:p>
    <w:p w14:paraId="629CA81C" w14:textId="77777777" w:rsidR="00AF633C" w:rsidRPr="008E432B" w:rsidRDefault="003553A1" w:rsidP="008E432B">
      <w:pPr>
        <w:pStyle w:val="Akapitzlist"/>
        <w:numPr>
          <w:ilvl w:val="0"/>
          <w:numId w:val="2"/>
        </w:numPr>
        <w:spacing w:after="80"/>
        <w:jc w:val="both"/>
        <w:rPr>
          <w:rFonts w:ascii="Times New Roman" w:hAnsi="Times New Roman" w:cs="Times New Roman"/>
          <w:sz w:val="28"/>
          <w:szCs w:val="28"/>
        </w:rPr>
      </w:pPr>
      <w:r w:rsidRPr="008E432B">
        <w:rPr>
          <w:rFonts w:ascii="Times New Roman" w:hAnsi="Times New Roman" w:cs="Times New Roman"/>
          <w:b/>
          <w:bCs/>
          <w:sz w:val="28"/>
          <w:szCs w:val="28"/>
        </w:rPr>
        <w:t>Competition</w:t>
      </w:r>
      <w:r w:rsidRPr="008E432B">
        <w:rPr>
          <w:rFonts w:ascii="Times New Roman" w:hAnsi="Times New Roman" w:cs="Times New Roman"/>
          <w:sz w:val="28"/>
          <w:szCs w:val="28"/>
        </w:rPr>
        <w:t xml:space="preserve"> over cooperation.</w:t>
      </w:r>
    </w:p>
    <w:p w14:paraId="2EEA2D6A" w14:textId="77777777" w:rsidR="00AF633C" w:rsidRPr="008E432B" w:rsidRDefault="003553A1" w:rsidP="008E432B">
      <w:pPr>
        <w:pStyle w:val="Akapitzlist"/>
        <w:numPr>
          <w:ilvl w:val="0"/>
          <w:numId w:val="2"/>
        </w:numPr>
        <w:spacing w:after="200"/>
        <w:jc w:val="both"/>
        <w:rPr>
          <w:rFonts w:ascii="Times New Roman" w:hAnsi="Times New Roman" w:cs="Times New Roman"/>
          <w:sz w:val="28"/>
          <w:szCs w:val="28"/>
          <w:lang w:val="en-GB"/>
        </w:rPr>
      </w:pPr>
      <w:r w:rsidRPr="008E432B">
        <w:rPr>
          <w:rFonts w:ascii="Times New Roman" w:hAnsi="Times New Roman" w:cs="Times New Roman"/>
          <w:b/>
          <w:bCs/>
          <w:sz w:val="28"/>
          <w:szCs w:val="28"/>
          <w:lang w:val="en-GB"/>
        </w:rPr>
        <w:t>Standardization</w:t>
      </w:r>
      <w:r w:rsidRPr="008E432B">
        <w:rPr>
          <w:rFonts w:ascii="Times New Roman" w:hAnsi="Times New Roman" w:cs="Times New Roman"/>
          <w:sz w:val="28"/>
          <w:szCs w:val="28"/>
          <w:lang w:val="en-GB"/>
        </w:rPr>
        <w:t xml:space="preserve"> over the recognition of differences.</w:t>
      </w:r>
    </w:p>
    <w:p w14:paraId="68DCFCEB" w14:textId="6D0632D5"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This ideology has embittered relationships, but this can be transformed into a formative experience through dialogue. Agostino Portera (2017) suggests that educating for conflict management means educating for the awareness of multiple identities and the recognition of the "other". But mostly, managing conflicts </w:t>
      </w:r>
      <w:r w:rsidRPr="008E432B">
        <w:rPr>
          <w:rFonts w:ascii="Times New Roman" w:hAnsi="Times New Roman" w:cs="Times New Roman"/>
          <w:sz w:val="28"/>
          <w:szCs w:val="28"/>
          <w:lang w:val="en-GB"/>
        </w:rPr>
        <w:lastRenderedPageBreak/>
        <w:t xml:space="preserve">means having intercultural communicative competences as language is the carrier of cultural values and </w:t>
      </w:r>
      <w:proofErr w:type="spellStart"/>
      <w:r w:rsidRPr="008E432B">
        <w:rPr>
          <w:rFonts w:ascii="Times New Roman" w:hAnsi="Times New Roman" w:cs="Times New Roman"/>
          <w:sz w:val="28"/>
          <w:szCs w:val="28"/>
          <w:lang w:val="en-GB"/>
        </w:rPr>
        <w:t>behaviors</w:t>
      </w:r>
      <w:proofErr w:type="spellEnd"/>
      <w:r w:rsidRPr="008E432B">
        <w:rPr>
          <w:rFonts w:ascii="Times New Roman" w:hAnsi="Times New Roman" w:cs="Times New Roman"/>
          <w:sz w:val="28"/>
          <w:szCs w:val="28"/>
          <w:lang w:val="en-GB"/>
        </w:rPr>
        <w:t>. Verbal and non-verbal language has its own specificities, which, if unknown, can be misunderstood.</w:t>
      </w:r>
    </w:p>
    <w:p w14:paraId="00DFB32B" w14:textId="77777777" w:rsidR="00AF633C" w:rsidRPr="008E432B" w:rsidRDefault="003553A1" w:rsidP="008E432B">
      <w:pPr>
        <w:spacing w:after="80"/>
        <w:jc w:val="both"/>
        <w:rPr>
          <w:rFonts w:ascii="Times New Roman" w:hAnsi="Times New Roman" w:cs="Times New Roman"/>
          <w:sz w:val="28"/>
          <w:szCs w:val="28"/>
        </w:rPr>
      </w:pPr>
      <w:r w:rsidRPr="008E432B">
        <w:rPr>
          <w:rFonts w:ascii="Times New Roman" w:hAnsi="Times New Roman" w:cs="Times New Roman"/>
          <w:sz w:val="28"/>
          <w:szCs w:val="28"/>
          <w:lang w:val="en-GB"/>
        </w:rPr>
        <w:t xml:space="preserve">For this reason, intercultural communication facilitates </w:t>
      </w:r>
      <w:r w:rsidRPr="008E432B">
        <w:rPr>
          <w:rFonts w:ascii="Times New Roman" w:hAnsi="Times New Roman" w:cs="Times New Roman"/>
          <w:b/>
          <w:bCs/>
          <w:sz w:val="28"/>
          <w:szCs w:val="28"/>
          <w:lang w:val="en-GB"/>
        </w:rPr>
        <w:t xml:space="preserve">cultural </w:t>
      </w:r>
      <w:proofErr w:type="spellStart"/>
      <w:r w:rsidRPr="008E432B">
        <w:rPr>
          <w:rFonts w:ascii="Times New Roman" w:hAnsi="Times New Roman" w:cs="Times New Roman"/>
          <w:b/>
          <w:bCs/>
          <w:sz w:val="28"/>
          <w:szCs w:val="28"/>
          <w:lang w:val="en-GB"/>
        </w:rPr>
        <w:t>decentering</w:t>
      </w:r>
      <w:proofErr w:type="spellEnd"/>
      <w:r w:rsidRPr="008E432B">
        <w:rPr>
          <w:rFonts w:ascii="Times New Roman" w:hAnsi="Times New Roman" w:cs="Times New Roman"/>
          <w:sz w:val="28"/>
          <w:szCs w:val="28"/>
          <w:lang w:val="en-GB"/>
        </w:rPr>
        <w:t xml:space="preserve">: the ability to recognize the cultural relativity of one's own representations and to grant symmetry to the perspective of others. </w:t>
      </w:r>
      <w:r w:rsidRPr="008E432B">
        <w:rPr>
          <w:rFonts w:ascii="Times New Roman" w:hAnsi="Times New Roman" w:cs="Times New Roman"/>
          <w:sz w:val="28"/>
          <w:szCs w:val="28"/>
        </w:rPr>
        <w:t>This involves:</w:t>
      </w:r>
    </w:p>
    <w:p w14:paraId="20E92C66" w14:textId="77777777" w:rsidR="00AF633C" w:rsidRPr="008E432B" w:rsidRDefault="003553A1" w:rsidP="008E432B">
      <w:pPr>
        <w:pStyle w:val="Akapitzlist"/>
        <w:numPr>
          <w:ilvl w:val="0"/>
          <w:numId w:val="2"/>
        </w:numPr>
        <w:spacing w:after="80"/>
        <w:jc w:val="both"/>
        <w:rPr>
          <w:rFonts w:ascii="Times New Roman" w:hAnsi="Times New Roman" w:cs="Times New Roman"/>
          <w:sz w:val="28"/>
          <w:szCs w:val="28"/>
          <w:lang w:val="en-GB"/>
        </w:rPr>
      </w:pPr>
      <w:r w:rsidRPr="008E432B">
        <w:rPr>
          <w:rFonts w:ascii="Times New Roman" w:hAnsi="Times New Roman" w:cs="Times New Roman"/>
          <w:b/>
          <w:bCs/>
          <w:sz w:val="28"/>
          <w:szCs w:val="28"/>
          <w:lang w:val="en-GB"/>
        </w:rPr>
        <w:t>The area of the Self</w:t>
      </w:r>
      <w:r w:rsidRPr="008E432B">
        <w:rPr>
          <w:rFonts w:ascii="Times New Roman" w:hAnsi="Times New Roman" w:cs="Times New Roman"/>
          <w:sz w:val="28"/>
          <w:szCs w:val="28"/>
          <w:lang w:val="en-GB"/>
        </w:rPr>
        <w:t>: attitudes like sensitivity and the ability to manage new situations.</w:t>
      </w:r>
    </w:p>
    <w:p w14:paraId="2C590C3D" w14:textId="77777777" w:rsidR="00AF633C" w:rsidRPr="008E432B" w:rsidRDefault="003553A1" w:rsidP="008E432B">
      <w:pPr>
        <w:pStyle w:val="Akapitzlist"/>
        <w:numPr>
          <w:ilvl w:val="0"/>
          <w:numId w:val="2"/>
        </w:numPr>
        <w:spacing w:after="80"/>
        <w:jc w:val="both"/>
        <w:rPr>
          <w:rFonts w:ascii="Times New Roman" w:hAnsi="Times New Roman" w:cs="Times New Roman"/>
          <w:sz w:val="28"/>
          <w:szCs w:val="28"/>
          <w:lang w:val="en-GB"/>
        </w:rPr>
      </w:pPr>
      <w:r w:rsidRPr="008E432B">
        <w:rPr>
          <w:rFonts w:ascii="Times New Roman" w:hAnsi="Times New Roman" w:cs="Times New Roman"/>
          <w:b/>
          <w:bCs/>
          <w:sz w:val="28"/>
          <w:szCs w:val="28"/>
          <w:lang w:val="en-GB"/>
        </w:rPr>
        <w:t>The area of Knowledge</w:t>
      </w:r>
      <w:r w:rsidRPr="008E432B">
        <w:rPr>
          <w:rFonts w:ascii="Times New Roman" w:hAnsi="Times New Roman" w:cs="Times New Roman"/>
          <w:sz w:val="28"/>
          <w:szCs w:val="28"/>
          <w:lang w:val="en-GB"/>
        </w:rPr>
        <w:t>: linguistic and cultural knowledge of the other's context.</w:t>
      </w:r>
    </w:p>
    <w:p w14:paraId="6F375490" w14:textId="77777777" w:rsidR="00AF633C" w:rsidRPr="008E432B" w:rsidRDefault="003553A1" w:rsidP="008E432B">
      <w:pPr>
        <w:pStyle w:val="Akapitzlist"/>
        <w:numPr>
          <w:ilvl w:val="0"/>
          <w:numId w:val="2"/>
        </w:numPr>
        <w:spacing w:after="200"/>
        <w:jc w:val="both"/>
        <w:rPr>
          <w:rFonts w:ascii="Times New Roman" w:hAnsi="Times New Roman" w:cs="Times New Roman"/>
          <w:sz w:val="28"/>
          <w:szCs w:val="28"/>
          <w:lang w:val="en-GB"/>
        </w:rPr>
      </w:pPr>
      <w:r w:rsidRPr="008E432B">
        <w:rPr>
          <w:rFonts w:ascii="Times New Roman" w:hAnsi="Times New Roman" w:cs="Times New Roman"/>
          <w:b/>
          <w:bCs/>
          <w:sz w:val="28"/>
          <w:szCs w:val="28"/>
          <w:lang w:val="en-GB"/>
        </w:rPr>
        <w:t>The area of "Know-how"</w:t>
      </w:r>
      <w:r w:rsidRPr="008E432B">
        <w:rPr>
          <w:rFonts w:ascii="Times New Roman" w:hAnsi="Times New Roman" w:cs="Times New Roman"/>
          <w:sz w:val="28"/>
          <w:szCs w:val="28"/>
          <w:lang w:val="en-GB"/>
        </w:rPr>
        <w:t>: linguistic skills and active listening.</w:t>
      </w:r>
    </w:p>
    <w:p w14:paraId="38B41D0C" w14:textId="77777777" w:rsidR="00AF633C"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Inclusion interventions should not be limited to "couscous pedagogy"—simply learning customs—but should act systemically in order to produce changes at more levels, from school curricula to teacher training; from the transformation of the school into an inclusive community committed to a pedagogical project focused on recognizing and overcoming ethnocentrism, to the promotion of citizenship education open to cultural pluralism.</w:t>
      </w:r>
    </w:p>
    <w:p w14:paraId="70CB39D6" w14:textId="7A53BABB" w:rsidR="00AF633C" w:rsidRPr="008E432B" w:rsidRDefault="00E853ED" w:rsidP="008E432B">
      <w:pPr>
        <w:pStyle w:val="Nagwek1"/>
        <w:jc w:val="both"/>
        <w:rPr>
          <w:rFonts w:ascii="Times New Roman" w:hAnsi="Times New Roman" w:cs="Times New Roman"/>
          <w:sz w:val="34"/>
          <w:szCs w:val="34"/>
          <w:lang w:val="en-GB"/>
        </w:rPr>
      </w:pPr>
      <w:r w:rsidRPr="008E432B">
        <w:rPr>
          <w:rFonts w:ascii="Times New Roman" w:hAnsi="Times New Roman" w:cs="Times New Roman"/>
          <w:i/>
          <w:iCs/>
          <w:sz w:val="34"/>
          <w:szCs w:val="34"/>
          <w:lang w:val="en-GB"/>
        </w:rPr>
        <w:t xml:space="preserve"> </w:t>
      </w:r>
      <w:r w:rsidRPr="008E432B">
        <w:rPr>
          <w:rFonts w:ascii="Times New Roman" w:hAnsi="Times New Roman" w:cs="Times New Roman"/>
          <w:sz w:val="34"/>
          <w:szCs w:val="34"/>
          <w:lang w:val="en-GB"/>
        </w:rPr>
        <w:t>Teacher Training and Action-Research</w:t>
      </w:r>
    </w:p>
    <w:p w14:paraId="2A2D890A" w14:textId="24B05802" w:rsidR="00E853ED" w:rsidRPr="008E432B" w:rsidRDefault="003553A1"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T</w:t>
      </w:r>
      <w:r w:rsidR="00E853ED" w:rsidRPr="008E432B">
        <w:rPr>
          <w:rFonts w:ascii="Times New Roman" w:hAnsi="Times New Roman" w:cs="Times New Roman"/>
          <w:sz w:val="28"/>
          <w:szCs w:val="28"/>
          <w:lang w:val="en-GB"/>
        </w:rPr>
        <w:t xml:space="preserve">o achieve this goal, it is necessary to reach what De Martino defined as "critical ethnocentrism" (De Martino, 1977), which is the attitude of one who "calls into question their own ethnos in the comparison with other ethnicities" (1977, p. 333), opening up to a much broader humanism that is not limited to that elaborated and transmitted by Western culture.   </w:t>
      </w:r>
    </w:p>
    <w:p w14:paraId="780F6E86" w14:textId="3B0BF92F"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It is also necessary to understand the meaning of cultural pluralism and its consequences on the formation of the individual and in the construction of fairer societies, in which cultural diversities can not only coexist but can transform the knowledge of other cultures into a source of personal enrichment;   a real change can be initiated if dialogue and research intended as "anti-pedagogy" are used as a pedagogical device.   </w:t>
      </w:r>
    </w:p>
    <w:p w14:paraId="185CB6DD" w14:textId="55635857"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De Bartolomeis wrote: "In the field of education, we identify research with a better understanding of the teaching-learning process and the conditions in which it can be achieved with greater success [...]."   </w:t>
      </w:r>
    </w:p>
    <w:p w14:paraId="3F76B6D6" w14:textId="37DFEDBE" w:rsidR="00AF633C"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Research emerges as a tool to develop and refine the current system, to eliminate contradictions rather than deepen them, so that there is a break that serves to bring into the area of power and decision-making those individuals who are currently excluded (De Bartolomeis, 1969/1993, p. 42).    </w:t>
      </w:r>
    </w:p>
    <w:p w14:paraId="4850FF64" w14:textId="6B08D09E" w:rsidR="00AF633C" w:rsidRPr="008E432B" w:rsidRDefault="00E853ED" w:rsidP="008E432B">
      <w:pPr>
        <w:pStyle w:val="Nagwek2"/>
        <w:jc w:val="both"/>
        <w:rPr>
          <w:rFonts w:ascii="Times New Roman" w:hAnsi="Times New Roman" w:cs="Times New Roman"/>
          <w:sz w:val="34"/>
          <w:szCs w:val="34"/>
          <w:lang w:val="en-GB"/>
        </w:rPr>
      </w:pPr>
      <w:r w:rsidRPr="008E432B">
        <w:rPr>
          <w:rFonts w:ascii="Times New Roman" w:hAnsi="Times New Roman" w:cs="Times New Roman"/>
          <w:sz w:val="34"/>
          <w:szCs w:val="34"/>
          <w:lang w:val="en-GB"/>
        </w:rPr>
        <w:t xml:space="preserve"> Action-Research in the Intercultural Field</w:t>
      </w:r>
    </w:p>
    <w:p w14:paraId="3D6CAAA0" w14:textId="48E0DB35"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lastRenderedPageBreak/>
        <w:t xml:space="preserve">Therefore, research, with all its educational and political weight, utilizes and compares theoretical knowledge with practical knowledge, to train teachers who have a metacognitive attitude intended as self-understanding of the conceptual network that they unconsciously put into practice during educational planning;   who know how to build bridges between the school community and the context in which the school operates, with its educational agencies, especially those involved in the process of welcoming and supporting immigrants.   </w:t>
      </w:r>
    </w:p>
    <w:p w14:paraId="36A14E75" w14:textId="75466D32"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The methodological device that responds to this training need can only be that of action-research, which provides for the guided reflective learning of communicative, relational, and methodological-didactic skills starting from real problems.   </w:t>
      </w:r>
    </w:p>
    <w:p w14:paraId="24BDDBB6" w14:textId="29D81B6A"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Action-research, in fact, is a research model based on the logic of theory-praxis-theory, whereby the problem that the school community feels particularly urgent is </w:t>
      </w:r>
      <w:proofErr w:type="spellStart"/>
      <w:r w:rsidRPr="008E432B">
        <w:rPr>
          <w:rFonts w:ascii="Times New Roman" w:hAnsi="Times New Roman" w:cs="Times New Roman"/>
          <w:sz w:val="28"/>
          <w:szCs w:val="28"/>
          <w:lang w:val="en-GB"/>
        </w:rPr>
        <w:t>analyzed</w:t>
      </w:r>
      <w:proofErr w:type="spellEnd"/>
      <w:r w:rsidRPr="008E432B">
        <w:rPr>
          <w:rFonts w:ascii="Times New Roman" w:hAnsi="Times New Roman" w:cs="Times New Roman"/>
          <w:sz w:val="28"/>
          <w:szCs w:val="28"/>
          <w:lang w:val="en-GB"/>
        </w:rPr>
        <w:t xml:space="preserve"> starting from the educational theories present in scientific literature, some resolution hypotheses are formulated, they are subjected to an "empirical bath" and then to verification—and if this "bath" demonstrates its validity, the hypothesis is transformed into action.   </w:t>
      </w:r>
    </w:p>
    <w:p w14:paraId="546F9213" w14:textId="62A07BE9"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Otherwise, that same hypothesis is modified. The theoretical dimension, therefore, interacts with the empirical one, providing the regulative ideas that serve as guiding principles for the formulation of a system of preliminary hypotheses for action (Baldacci, 2001).   </w:t>
      </w:r>
    </w:p>
    <w:p w14:paraId="5D420FF8" w14:textId="41BE81A5"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The overcoming of the opposition between theory and practice is further emphasized by the different roles played by the researcher and the teachers participating in the research, who are both involved in the processes to be </w:t>
      </w:r>
      <w:proofErr w:type="spellStart"/>
      <w:r w:rsidRPr="008E432B">
        <w:rPr>
          <w:rFonts w:ascii="Times New Roman" w:hAnsi="Times New Roman" w:cs="Times New Roman"/>
          <w:sz w:val="28"/>
          <w:szCs w:val="28"/>
          <w:lang w:val="en-GB"/>
        </w:rPr>
        <w:t>analyzed</w:t>
      </w:r>
      <w:proofErr w:type="spellEnd"/>
      <w:r w:rsidRPr="008E432B">
        <w:rPr>
          <w:rFonts w:ascii="Times New Roman" w:hAnsi="Times New Roman" w:cs="Times New Roman"/>
          <w:sz w:val="28"/>
          <w:szCs w:val="28"/>
          <w:lang w:val="en-GB"/>
        </w:rPr>
        <w:t xml:space="preserve"> and in the problem to be solved, establishing a relationship based on "mutual collaboration."   </w:t>
      </w:r>
    </w:p>
    <w:p w14:paraId="2196D00A" w14:textId="57A99358"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The two roles, that of the researcher and that of the teacher, assume the characteristics of reciprocity: the researcher provides the theoretical framework on which the resolution hypotheses for the problem posed by the educational experience </w:t>
      </w:r>
      <w:proofErr w:type="gramStart"/>
      <w:r w:rsidRPr="008E432B">
        <w:rPr>
          <w:rFonts w:ascii="Times New Roman" w:hAnsi="Times New Roman" w:cs="Times New Roman"/>
          <w:sz w:val="28"/>
          <w:szCs w:val="28"/>
          <w:lang w:val="en-GB"/>
        </w:rPr>
        <w:t xml:space="preserve">rest;   </w:t>
      </w:r>
      <w:proofErr w:type="gramEnd"/>
      <w:r w:rsidRPr="008E432B">
        <w:rPr>
          <w:rFonts w:ascii="Times New Roman" w:hAnsi="Times New Roman" w:cs="Times New Roman"/>
          <w:sz w:val="28"/>
          <w:szCs w:val="28"/>
          <w:lang w:val="en-GB"/>
        </w:rPr>
        <w:t xml:space="preserve">the teacher </w:t>
      </w:r>
      <w:proofErr w:type="spellStart"/>
      <w:r w:rsidRPr="008E432B">
        <w:rPr>
          <w:rFonts w:ascii="Times New Roman" w:hAnsi="Times New Roman" w:cs="Times New Roman"/>
          <w:sz w:val="28"/>
          <w:szCs w:val="28"/>
          <w:lang w:val="en-GB"/>
        </w:rPr>
        <w:t>analyzes</w:t>
      </w:r>
      <w:proofErr w:type="spellEnd"/>
      <w:r w:rsidRPr="008E432B">
        <w:rPr>
          <w:rFonts w:ascii="Times New Roman" w:hAnsi="Times New Roman" w:cs="Times New Roman"/>
          <w:sz w:val="28"/>
          <w:szCs w:val="28"/>
          <w:lang w:val="en-GB"/>
        </w:rPr>
        <w:t xml:space="preserve">, together with the researcher, these hypotheses and their possibilities for success starting from the experience gained in the field.   </w:t>
      </w:r>
    </w:p>
    <w:p w14:paraId="224C7BF1" w14:textId="71DE16E0"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The researcher, therefore, is not the depositary of absolute truths but of hypotheses that can be refuted or reshaped based on the educational reality in which they act; the teachers, for their part, learn to use the methodology of educational research, becoming familiar with the scientific aspects of educational practice and, thanks to this involvement, have the opportunity to learn and apply new knowledge and new skills and, at the same time, reflect on what they are implementing, performing an analysis and an evaluation of the actions.   </w:t>
      </w:r>
    </w:p>
    <w:p w14:paraId="66D62541" w14:textId="77777777"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lastRenderedPageBreak/>
        <w:t xml:space="preserve">Action-research represents a research and training model "oriented toward decisions," writes Baldacci (2001), and it uses methodological procedures of an idiographic approach for the purpose of solving a problem of a relational and socio-educational (but also epistemic) nature, considered important for the educating community.   </w:t>
      </w:r>
    </w:p>
    <w:p w14:paraId="40AC8ABE" w14:textId="21D9173B"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Through the use of a </w:t>
      </w:r>
      <w:proofErr w:type="spellStart"/>
      <w:r w:rsidRPr="008E432B">
        <w:rPr>
          <w:rFonts w:ascii="Times New Roman" w:hAnsi="Times New Roman" w:cs="Times New Roman"/>
          <w:sz w:val="28"/>
          <w:szCs w:val="28"/>
          <w:lang w:val="en-GB"/>
        </w:rPr>
        <w:t>problematicist</w:t>
      </w:r>
      <w:proofErr w:type="spellEnd"/>
      <w:r w:rsidRPr="008E432B">
        <w:rPr>
          <w:rFonts w:ascii="Times New Roman" w:hAnsi="Times New Roman" w:cs="Times New Roman"/>
          <w:sz w:val="28"/>
          <w:szCs w:val="28"/>
          <w:lang w:val="en-GB"/>
        </w:rPr>
        <w:t xml:space="preserve"> approach, understood as a transcendental device capable of understanding and overcoming the antinomic characterization of the educational experience, action-research operates in compliance with the criteria of adherence to reality and loyalty to reason (Bertin, 1987).   </w:t>
      </w:r>
    </w:p>
    <w:p w14:paraId="4681D4C5" w14:textId="5F8F3C1B"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In other words, action-research allows for the acquisition of information that, on one hand, enables intervention in the relevant educational context and, on the other, deepens educational </w:t>
      </w:r>
      <w:proofErr w:type="gramStart"/>
      <w:r w:rsidRPr="008E432B">
        <w:rPr>
          <w:rFonts w:ascii="Times New Roman" w:hAnsi="Times New Roman" w:cs="Times New Roman"/>
          <w:sz w:val="28"/>
          <w:szCs w:val="28"/>
          <w:lang w:val="en-GB"/>
        </w:rPr>
        <w:t xml:space="preserve">theories;   </w:t>
      </w:r>
      <w:proofErr w:type="gramEnd"/>
      <w:r w:rsidRPr="008E432B">
        <w:rPr>
          <w:rFonts w:ascii="Times New Roman" w:hAnsi="Times New Roman" w:cs="Times New Roman"/>
          <w:sz w:val="28"/>
          <w:szCs w:val="28"/>
          <w:lang w:val="en-GB"/>
        </w:rPr>
        <w:t xml:space="preserve">it requalifies the professionalism of the teacher, who learns to observe the educational reality in which they </w:t>
      </w:r>
      <w:proofErr w:type="gramStart"/>
      <w:r w:rsidRPr="008E432B">
        <w:rPr>
          <w:rFonts w:ascii="Times New Roman" w:hAnsi="Times New Roman" w:cs="Times New Roman"/>
          <w:sz w:val="28"/>
          <w:szCs w:val="28"/>
          <w:lang w:val="en-GB"/>
        </w:rPr>
        <w:t xml:space="preserve">work;   </w:t>
      </w:r>
      <w:proofErr w:type="gramEnd"/>
      <w:r w:rsidRPr="008E432B">
        <w:rPr>
          <w:rFonts w:ascii="Times New Roman" w:hAnsi="Times New Roman" w:cs="Times New Roman"/>
          <w:sz w:val="28"/>
          <w:szCs w:val="28"/>
          <w:lang w:val="en-GB"/>
        </w:rPr>
        <w:t xml:space="preserve">to act, and to introduce useful changes for the institution in which they operate.   </w:t>
      </w:r>
    </w:p>
    <w:p w14:paraId="2758C413" w14:textId="205D0408"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Action-research implies "doing research" in order to conduct a change in educational praxis—meaning the researcher conducts an investigation aimed at the elaboration of scientific knowledge to guarantee "objectivity"—and "being in research," which means using reflective practice in all phases of the research for the purpose of intervening to make any necessary modifications.   </w:t>
      </w:r>
    </w:p>
    <w:p w14:paraId="686215BC" w14:textId="77777777"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Reflection, therefore, is reflection "in action" and "on action."   </w:t>
      </w:r>
    </w:p>
    <w:p w14:paraId="1D5A4D9C" w14:textId="01364EDF"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Thus, if on one hand the classic research approach sees participants and researchers acting on different levels, on the other hand, during action-research, everyone involved in the research works together and reflection becomes the methodology with which to establish objectives, methodologies, tools, and evaluation systems.   </w:t>
      </w:r>
    </w:p>
    <w:p w14:paraId="06CDA7E6" w14:textId="1B7C758A"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Action-research serves to intervene in reality, to modify it in function of a change, but its effectiveness also lies in the continuous process of reflective learning that arises precisely from its articulation: one problematizes, reflects, and decides in the initial phase of the research, but one also learns, evaluates, modifies, and verifies in the rest of the phases into which it is articulated.   </w:t>
      </w:r>
    </w:p>
    <w:p w14:paraId="433B6136" w14:textId="10B5EF47"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In this back-and-forth between action-reflection-action, thought patterns, beliefs, implicit theories, and representations regarding alterity are discovered and made explicit—representations that each member of the work group has elaborated over time and through their professional and personal experiences.   </w:t>
      </w:r>
    </w:p>
    <w:p w14:paraId="0543541F" w14:textId="580D38F2" w:rsidR="00E853ED" w:rsidRPr="008E432B" w:rsidRDefault="00E853ED" w:rsidP="008E432B">
      <w:pPr>
        <w:spacing w:after="120"/>
        <w:jc w:val="both"/>
        <w:rPr>
          <w:rFonts w:ascii="Times New Roman" w:hAnsi="Times New Roman" w:cs="Times New Roman"/>
          <w:sz w:val="28"/>
          <w:szCs w:val="28"/>
          <w:lang w:val="en-GB"/>
        </w:rPr>
      </w:pPr>
      <w:r w:rsidRPr="008E432B">
        <w:rPr>
          <w:rFonts w:ascii="Times New Roman" w:hAnsi="Times New Roman" w:cs="Times New Roman"/>
          <w:sz w:val="28"/>
          <w:szCs w:val="28"/>
          <w:lang w:val="en-GB"/>
        </w:rPr>
        <w:t xml:space="preserve">In this way, the group of teachers and the researcher transform into a "community of practice."   </w:t>
      </w:r>
    </w:p>
    <w:p w14:paraId="2989C908" w14:textId="77777777" w:rsidR="00E853ED" w:rsidRPr="008E432B" w:rsidRDefault="00E853ED" w:rsidP="008E432B">
      <w:pPr>
        <w:spacing w:after="120"/>
        <w:jc w:val="both"/>
        <w:rPr>
          <w:rFonts w:ascii="Times New Roman" w:hAnsi="Times New Roman" w:cs="Times New Roman"/>
          <w:sz w:val="28"/>
          <w:szCs w:val="28"/>
          <w:lang w:val="en-GB"/>
        </w:rPr>
      </w:pPr>
    </w:p>
    <w:p w14:paraId="4EEF588B" w14:textId="205C2C44" w:rsidR="00E853ED" w:rsidRPr="008E432B" w:rsidRDefault="00686A5F" w:rsidP="008E432B">
      <w:pPr>
        <w:spacing w:after="120"/>
        <w:jc w:val="both"/>
        <w:rPr>
          <w:rFonts w:ascii="Times New Roman" w:hAnsi="Times New Roman" w:cs="Times New Roman"/>
          <w:b/>
          <w:bCs/>
          <w:i/>
          <w:iCs/>
          <w:color w:val="156082" w:themeColor="accent1"/>
          <w:sz w:val="34"/>
          <w:szCs w:val="34"/>
          <w:lang w:val="en-GB"/>
        </w:rPr>
      </w:pPr>
      <w:r>
        <w:rPr>
          <w:rFonts w:ascii="Times New Roman" w:hAnsi="Times New Roman" w:cs="Times New Roman"/>
          <w:b/>
          <w:bCs/>
          <w:i/>
          <w:iCs/>
          <w:color w:val="156082" w:themeColor="accent1"/>
          <w:sz w:val="34"/>
          <w:szCs w:val="34"/>
          <w:lang w:val="en-GB"/>
        </w:rPr>
        <w:t>Findings and summary</w:t>
      </w:r>
    </w:p>
    <w:p w14:paraId="5B83EA28" w14:textId="3043525D"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lastRenderedPageBreak/>
        <w:t xml:space="preserve">The welcoming school thus becomes a community that reflects on practices through </w:t>
      </w:r>
      <w:proofErr w:type="gramStart"/>
      <w:r w:rsidRPr="008E432B">
        <w:rPr>
          <w:rFonts w:ascii="Times New Roman" w:hAnsi="Times New Roman" w:cs="Times New Roman"/>
          <w:color w:val="000000" w:themeColor="text1"/>
          <w:sz w:val="28"/>
          <w:szCs w:val="28"/>
          <w:lang w:val="en-GB"/>
        </w:rPr>
        <w:t xml:space="preserve">sharing,   </w:t>
      </w:r>
      <w:proofErr w:type="gramEnd"/>
      <w:r w:rsidRPr="008E432B">
        <w:rPr>
          <w:rFonts w:ascii="Times New Roman" w:hAnsi="Times New Roman" w:cs="Times New Roman"/>
          <w:color w:val="000000" w:themeColor="text1"/>
          <w:sz w:val="28"/>
          <w:szCs w:val="28"/>
          <w:lang w:val="en-GB"/>
        </w:rPr>
        <w:t xml:space="preserve">a term generally used to indicate socially shared knowledge that evolves toward higher cognitive levels starting from the exchange and negotiation of knowledge "in use" in practice.   </w:t>
      </w:r>
    </w:p>
    <w:p w14:paraId="146BDCC0" w14:textId="2B707954"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"Exchange and negotiation, at the base of the construction and transmission of knowledge within a community, end up promoting a process of cognitive reflection which, if on one hand brings awareness of the multiplicity of viewpoints to the interlocutors, on the other hand makes them distance themselves [...] from what they know" (Bruner, 1988, p. 157).   </w:t>
      </w:r>
    </w:p>
    <w:p w14:paraId="166C4AA7" w14:textId="09007A82"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The principle on which communities of practice are founded is "legitimate peripheral participation," a principle that emphasizes how learning is primarily a social process in which processes of belonging, commitment, inclusion, and the development of a new identity play an important role.</w:t>
      </w:r>
    </w:p>
    <w:p w14:paraId="6483ECB9" w14:textId="2B617DDA"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An identity that is safeguarded thanks to the ability to transmit knowledge "in use" through continuous reflection and a readjustment of such knowledge to the changes and transformations of the community itself (Fabbri-</w:t>
      </w:r>
      <w:proofErr w:type="spellStart"/>
      <w:r w:rsidRPr="008E432B">
        <w:rPr>
          <w:rFonts w:ascii="Times New Roman" w:hAnsi="Times New Roman" w:cs="Times New Roman"/>
          <w:color w:val="000000" w:themeColor="text1"/>
          <w:sz w:val="28"/>
          <w:szCs w:val="28"/>
          <w:lang w:val="en-GB"/>
        </w:rPr>
        <w:t>Melacarne</w:t>
      </w:r>
      <w:proofErr w:type="spellEnd"/>
      <w:r w:rsidRPr="008E432B">
        <w:rPr>
          <w:rFonts w:ascii="Times New Roman" w:hAnsi="Times New Roman" w:cs="Times New Roman"/>
          <w:color w:val="000000" w:themeColor="text1"/>
          <w:sz w:val="28"/>
          <w:szCs w:val="28"/>
          <w:lang w:val="en-GB"/>
        </w:rPr>
        <w:t xml:space="preserve">, 2015).   </w:t>
      </w:r>
    </w:p>
    <w:p w14:paraId="680BBBE0" w14:textId="5625E172"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With the term participation, one wants to emphasize the social nature of learning, considered an "act of belonging to the community," a participation in activities, and therefore in the practices of the community, in order to improve the community itself.   </w:t>
      </w:r>
    </w:p>
    <w:p w14:paraId="42E9EA2C" w14:textId="14EB5DDD"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The sharing and socialization of practices end up creating a collective identity that allows each of the members to feel part of the community itself.   </w:t>
      </w:r>
    </w:p>
    <w:p w14:paraId="24E05DAA" w14:textId="61DA994F"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Using the word "participation" better conveys the idea of the relationship existing between the individual and the community, interpreting cultural processes in dynamic and transactive terms.   </w:t>
      </w:r>
    </w:p>
    <w:p w14:paraId="73C254ED" w14:textId="7C23ED0D"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The social network that is at the base of the community ensures that among the members of the group there is a sharing of representations of the foreigner and of the meaning given to the term </w:t>
      </w:r>
      <w:proofErr w:type="gramStart"/>
      <w:r w:rsidRPr="008E432B">
        <w:rPr>
          <w:rFonts w:ascii="Times New Roman" w:hAnsi="Times New Roman" w:cs="Times New Roman"/>
          <w:color w:val="000000" w:themeColor="text1"/>
          <w:sz w:val="28"/>
          <w:szCs w:val="28"/>
          <w:lang w:val="en-GB"/>
        </w:rPr>
        <w:t xml:space="preserve">difference;   </w:t>
      </w:r>
      <w:proofErr w:type="gramEnd"/>
      <w:r w:rsidRPr="008E432B">
        <w:rPr>
          <w:rFonts w:ascii="Times New Roman" w:hAnsi="Times New Roman" w:cs="Times New Roman"/>
          <w:color w:val="000000" w:themeColor="text1"/>
          <w:sz w:val="28"/>
          <w:szCs w:val="28"/>
          <w:lang w:val="en-GB"/>
        </w:rPr>
        <w:t xml:space="preserve">the coordination of actions to be undertaken through an integration of knowledge.   </w:t>
      </w:r>
    </w:p>
    <w:p w14:paraId="35B7916E" w14:textId="094A070F"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However, when referring to a community of practice, one must not think of a group of people who operate in a harmonious and solidary way.   </w:t>
      </w:r>
    </w:p>
    <w:p w14:paraId="2F12CCF8" w14:textId="77FD7D53"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On the contrary, most of the time, the communities that generate the most fruitful results are those that have gone through and lived through moments of conflict.   </w:t>
      </w:r>
    </w:p>
    <w:p w14:paraId="6E5D9CD8" w14:textId="52BDBFCE"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It is conflict that causes conceptual change and the assumption of more complex interpretive devices, which engage the individual in a series of operations aimed at evaluating new data to verify its reliability and appropriateness, </w:t>
      </w:r>
      <w:proofErr w:type="spellStart"/>
      <w:r w:rsidRPr="008E432B">
        <w:rPr>
          <w:rFonts w:ascii="Times New Roman" w:hAnsi="Times New Roman" w:cs="Times New Roman"/>
          <w:color w:val="000000" w:themeColor="text1"/>
          <w:sz w:val="28"/>
          <w:szCs w:val="28"/>
          <w:lang w:val="en-GB"/>
        </w:rPr>
        <w:t>favoring</w:t>
      </w:r>
      <w:proofErr w:type="spellEnd"/>
      <w:r w:rsidRPr="008E432B">
        <w:rPr>
          <w:rFonts w:ascii="Times New Roman" w:hAnsi="Times New Roman" w:cs="Times New Roman"/>
          <w:color w:val="000000" w:themeColor="text1"/>
          <w:sz w:val="28"/>
          <w:szCs w:val="28"/>
          <w:lang w:val="en-GB"/>
        </w:rPr>
        <w:t xml:space="preserve"> conceptual change.   </w:t>
      </w:r>
    </w:p>
    <w:p w14:paraId="5E133C4D" w14:textId="547415FB"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lastRenderedPageBreak/>
        <w:t xml:space="preserve">According to Lucia Mason, the latter "must be understood [...] as a change in the collective and shared body of concepts, and a change in the socio-cultural practices implied by the changes in concepts at the group level.   </w:t>
      </w:r>
    </w:p>
    <w:p w14:paraId="657C379B" w14:textId="047C175A"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Consequently, the educational issue does not concern so much the creation of new curricula, the definition of new standards to be achieved, or the use of new techniques, but rather the change in the practices of the life of a school class" (Mason, 2006, p. 145).   </w:t>
      </w:r>
    </w:p>
    <w:p w14:paraId="3EEBCF1B" w14:textId="247CB2AA"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This is a metacognitive awareness that emerges at the very moment the subject understands they are facing a problem and desires to solve it.   </w:t>
      </w:r>
    </w:p>
    <w:p w14:paraId="617912E6" w14:textId="23001E92"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Within a community of practice, one learns thanks to the continuous exchange of personal and professional experiences, and of tacit and explicit knowledge among the different interlocutors.   </w:t>
      </w:r>
    </w:p>
    <w:p w14:paraId="5BFBA8B9" w14:textId="58FAEB97"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Each individual offers to the other during interaction not only their own knowledge but also the imaginary they possess regarding alterity, acquired during their own personal life history.   </w:t>
      </w:r>
    </w:p>
    <w:p w14:paraId="596DF657" w14:textId="2D2CDC05"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This knowledge, formal and informal, initially distributed among the various members of the community, is made available to everyone, becoming an object of reflection and deconstruction in order to adapt it to the situational nature of the practice that the members of the community are engaged in at that moment.   </w:t>
      </w:r>
    </w:p>
    <w:p w14:paraId="3F53143C" w14:textId="2D016F54"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The participation of the members of the community of practice involved in action-research is to be understood, therefore, as a sharing of stories and knowledge which, once narrated, become "other," become the heritage of the other members of the community and enrich the character of the collective identity.   </w:t>
      </w:r>
    </w:p>
    <w:p w14:paraId="5D72037A" w14:textId="2B18B63E" w:rsidR="00E853ED" w:rsidRPr="008E432B" w:rsidRDefault="00E853ED" w:rsidP="008E432B">
      <w:pPr>
        <w:spacing w:after="120"/>
        <w:jc w:val="both"/>
        <w:rPr>
          <w:rFonts w:ascii="Times New Roman" w:hAnsi="Times New Roman" w:cs="Times New Roman"/>
          <w:color w:val="000000" w:themeColor="text1"/>
          <w:sz w:val="28"/>
          <w:szCs w:val="28"/>
          <w:lang w:val="en-GB"/>
        </w:rPr>
      </w:pPr>
      <w:r w:rsidRPr="008E432B">
        <w:rPr>
          <w:rFonts w:ascii="Times New Roman" w:hAnsi="Times New Roman" w:cs="Times New Roman"/>
          <w:color w:val="000000" w:themeColor="text1"/>
          <w:sz w:val="28"/>
          <w:szCs w:val="28"/>
          <w:lang w:val="en-GB"/>
        </w:rPr>
        <w:t xml:space="preserve">It is during such participation that a process of appropriation occurs on the part of each component of the community regarding the norms, </w:t>
      </w:r>
      <w:proofErr w:type="spellStart"/>
      <w:r w:rsidRPr="008E432B">
        <w:rPr>
          <w:rFonts w:ascii="Times New Roman" w:hAnsi="Times New Roman" w:cs="Times New Roman"/>
          <w:color w:val="000000" w:themeColor="text1"/>
          <w:sz w:val="28"/>
          <w:szCs w:val="28"/>
          <w:lang w:val="en-GB"/>
        </w:rPr>
        <w:t>behaviors</w:t>
      </w:r>
      <w:proofErr w:type="spellEnd"/>
      <w:r w:rsidRPr="008E432B">
        <w:rPr>
          <w:rFonts w:ascii="Times New Roman" w:hAnsi="Times New Roman" w:cs="Times New Roman"/>
          <w:color w:val="000000" w:themeColor="text1"/>
          <w:sz w:val="28"/>
          <w:szCs w:val="28"/>
          <w:lang w:val="en-GB"/>
        </w:rPr>
        <w:t>, languages, values, routines, and visions of the community to which they belong.</w:t>
      </w:r>
    </w:p>
    <w:sectPr w:rsidR="00E853ED" w:rsidRPr="008E432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C15C1"/>
    <w:multiLevelType w:val="hybridMultilevel"/>
    <w:tmpl w:val="8DE4E64C"/>
    <w:lvl w:ilvl="0" w:tplc="6ECE770C">
      <w:start w:val="1"/>
      <w:numFmt w:val="bullet"/>
      <w:lvlText w:val="•"/>
      <w:lvlJc w:val="left"/>
      <w:pPr>
        <w:ind w:left="720" w:hanging="360"/>
      </w:pPr>
      <w:rPr>
        <w:rFonts w:ascii="Arial" w:eastAsia="Arial" w:hAnsi="Arial" w:cs="Arial"/>
      </w:rPr>
    </w:lvl>
    <w:lvl w:ilvl="1" w:tplc="9D4839E8">
      <w:numFmt w:val="decimal"/>
      <w:lvlText w:val=""/>
      <w:lvlJc w:val="left"/>
    </w:lvl>
    <w:lvl w:ilvl="2" w:tplc="C73AA95A">
      <w:numFmt w:val="decimal"/>
      <w:lvlText w:val=""/>
      <w:lvlJc w:val="left"/>
    </w:lvl>
    <w:lvl w:ilvl="3" w:tplc="69D0BD12">
      <w:numFmt w:val="decimal"/>
      <w:lvlText w:val=""/>
      <w:lvlJc w:val="left"/>
    </w:lvl>
    <w:lvl w:ilvl="4" w:tplc="05DE9216">
      <w:numFmt w:val="decimal"/>
      <w:lvlText w:val=""/>
      <w:lvlJc w:val="left"/>
    </w:lvl>
    <w:lvl w:ilvl="5" w:tplc="C76894E6">
      <w:numFmt w:val="decimal"/>
      <w:lvlText w:val=""/>
      <w:lvlJc w:val="left"/>
    </w:lvl>
    <w:lvl w:ilvl="6" w:tplc="D08291D8">
      <w:numFmt w:val="decimal"/>
      <w:lvlText w:val=""/>
      <w:lvlJc w:val="left"/>
    </w:lvl>
    <w:lvl w:ilvl="7" w:tplc="B40E2A74">
      <w:numFmt w:val="decimal"/>
      <w:lvlText w:val=""/>
      <w:lvlJc w:val="left"/>
    </w:lvl>
    <w:lvl w:ilvl="8" w:tplc="22B4A186">
      <w:numFmt w:val="decimal"/>
      <w:lvlText w:val=""/>
      <w:lvlJc w:val="left"/>
    </w:lvl>
  </w:abstractNum>
  <w:abstractNum w:abstractNumId="1" w15:restartNumberingAfterBreak="0">
    <w:nsid w:val="6B0A330E"/>
    <w:multiLevelType w:val="hybridMultilevel"/>
    <w:tmpl w:val="04209740"/>
    <w:lvl w:ilvl="0" w:tplc="EA882000">
      <w:start w:val="1"/>
      <w:numFmt w:val="bullet"/>
      <w:lvlText w:val="●"/>
      <w:lvlJc w:val="left"/>
      <w:pPr>
        <w:ind w:left="720" w:hanging="360"/>
      </w:pPr>
    </w:lvl>
    <w:lvl w:ilvl="1" w:tplc="113ED5C4">
      <w:start w:val="1"/>
      <w:numFmt w:val="bullet"/>
      <w:lvlText w:val="○"/>
      <w:lvlJc w:val="left"/>
      <w:pPr>
        <w:ind w:left="1440" w:hanging="360"/>
      </w:pPr>
    </w:lvl>
    <w:lvl w:ilvl="2" w:tplc="76D2D3F4">
      <w:start w:val="1"/>
      <w:numFmt w:val="bullet"/>
      <w:lvlText w:val="■"/>
      <w:lvlJc w:val="left"/>
      <w:pPr>
        <w:ind w:left="2160" w:hanging="360"/>
      </w:pPr>
    </w:lvl>
    <w:lvl w:ilvl="3" w:tplc="B1464B72">
      <w:start w:val="1"/>
      <w:numFmt w:val="bullet"/>
      <w:lvlText w:val="●"/>
      <w:lvlJc w:val="left"/>
      <w:pPr>
        <w:ind w:left="2880" w:hanging="360"/>
      </w:pPr>
    </w:lvl>
    <w:lvl w:ilvl="4" w:tplc="DAFEC3D0">
      <w:start w:val="1"/>
      <w:numFmt w:val="bullet"/>
      <w:lvlText w:val="○"/>
      <w:lvlJc w:val="left"/>
      <w:pPr>
        <w:ind w:left="3600" w:hanging="360"/>
      </w:pPr>
    </w:lvl>
    <w:lvl w:ilvl="5" w:tplc="770A1708">
      <w:start w:val="1"/>
      <w:numFmt w:val="bullet"/>
      <w:lvlText w:val="■"/>
      <w:lvlJc w:val="left"/>
      <w:pPr>
        <w:ind w:left="4320" w:hanging="360"/>
      </w:pPr>
    </w:lvl>
    <w:lvl w:ilvl="6" w:tplc="E30CFCAE">
      <w:start w:val="1"/>
      <w:numFmt w:val="bullet"/>
      <w:lvlText w:val="●"/>
      <w:lvlJc w:val="left"/>
      <w:pPr>
        <w:ind w:left="5040" w:hanging="360"/>
      </w:pPr>
    </w:lvl>
    <w:lvl w:ilvl="7" w:tplc="2474CA2C">
      <w:start w:val="1"/>
      <w:numFmt w:val="bullet"/>
      <w:lvlText w:val="●"/>
      <w:lvlJc w:val="left"/>
      <w:pPr>
        <w:ind w:left="5760" w:hanging="360"/>
      </w:pPr>
    </w:lvl>
    <w:lvl w:ilvl="8" w:tplc="8506D9C0">
      <w:start w:val="1"/>
      <w:numFmt w:val="bullet"/>
      <w:lvlText w:val="●"/>
      <w:lvlJc w:val="left"/>
      <w:pPr>
        <w:ind w:left="6480" w:hanging="360"/>
      </w:pPr>
    </w:lvl>
  </w:abstractNum>
  <w:num w:numId="1" w16cid:durableId="1991983611">
    <w:abstractNumId w:val="1"/>
    <w:lvlOverride w:ilvl="0">
      <w:startOverride w:val="1"/>
    </w:lvlOverride>
  </w:num>
  <w:num w:numId="2" w16cid:durableId="5222082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33C"/>
    <w:rsid w:val="00020579"/>
    <w:rsid w:val="00065BE2"/>
    <w:rsid w:val="000B1702"/>
    <w:rsid w:val="00183937"/>
    <w:rsid w:val="001D40BA"/>
    <w:rsid w:val="00334646"/>
    <w:rsid w:val="003553A1"/>
    <w:rsid w:val="00380CD8"/>
    <w:rsid w:val="004D46B4"/>
    <w:rsid w:val="005D53F1"/>
    <w:rsid w:val="00686A5F"/>
    <w:rsid w:val="007258E8"/>
    <w:rsid w:val="007577F3"/>
    <w:rsid w:val="00771B6D"/>
    <w:rsid w:val="008E432B"/>
    <w:rsid w:val="00922AD4"/>
    <w:rsid w:val="00AF633C"/>
    <w:rsid w:val="00B319BE"/>
    <w:rsid w:val="00BC34B3"/>
    <w:rsid w:val="00DC672D"/>
    <w:rsid w:val="00E853ED"/>
    <w:rsid w:val="00ED32B6"/>
    <w:rsid w:val="00FA59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DB4AC"/>
  <w15:docId w15:val="{BA6DAA79-CFC8-4E59-BF95-2667B67E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spacing w:before="360" w:after="180"/>
      <w:outlineLvl w:val="0"/>
    </w:pPr>
    <w:rPr>
      <w:b/>
      <w:bCs/>
      <w:color w:val="1F3864"/>
      <w:sz w:val="32"/>
      <w:szCs w:val="32"/>
    </w:rPr>
  </w:style>
  <w:style w:type="paragraph" w:styleId="Nagwek2">
    <w:name w:val="heading 2"/>
    <w:uiPriority w:val="9"/>
    <w:unhideWhenUsed/>
    <w:qFormat/>
    <w:pPr>
      <w:spacing w:before="280" w:after="140"/>
      <w:outlineLvl w:val="1"/>
    </w:pPr>
    <w:rPr>
      <w:b/>
      <w:bCs/>
      <w:color w:val="2E5090"/>
      <w:sz w:val="28"/>
      <w:szCs w:val="28"/>
    </w:rPr>
  </w:style>
  <w:style w:type="paragraph" w:styleId="Nagwek3">
    <w:name w:val="heading 3"/>
    <w:uiPriority w:val="9"/>
    <w:semiHidden/>
    <w:unhideWhenUsed/>
    <w:qFormat/>
    <w:pPr>
      <w:spacing w:before="200" w:after="100"/>
      <w:outlineLvl w:val="2"/>
    </w:pPr>
    <w:rPr>
      <w:b/>
      <w:bCs/>
      <w:color w:val="2E5090"/>
      <w:sz w:val="26"/>
      <w:szCs w:val="26"/>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Enfasigrassetto1">
    <w:name w:val="Enfasi (grassetto)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fcfe26a-bb62-46b0-b1e3-28f9da0c45fd}" enabled="0" method="" siteId="{2fcfe26a-bb62-46b0-b1e3-28f9da0c45fd}"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3212</Words>
  <Characters>19274</Characters>
  <Application>Microsoft Office Word</Application>
  <DocSecurity>0</DocSecurity>
  <Lines>160</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Anna Linka</cp:lastModifiedBy>
  <cp:revision>2</cp:revision>
  <cp:lastPrinted>2026-05-08T00:28:00Z</cp:lastPrinted>
  <dcterms:created xsi:type="dcterms:W3CDTF">2026-05-18T16:08:00Z</dcterms:created>
  <dcterms:modified xsi:type="dcterms:W3CDTF">2026-05-18T16:08:00Z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2026-05-08T00:28:31Z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31b85af7-1cad-4a1a-8cd6-08db8b268fac</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